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756天</w:t>
      </w:r>
      <w:r>
        <w:rPr>
          <w:rFonts w:hint="eastAsia" w:ascii="方正黑体_GBK" w:hAnsi="方正黑体_GBK" w:eastAsia="方正黑体_GBK" w:cs="Times New Roman"/>
          <w:b/>
          <w:bCs w:val="0"/>
          <w:vanish w:val="0"/>
          <w:color w:val="3D3D3D"/>
          <w:kern w:val="0"/>
          <w:sz w:val="13"/>
          <w:szCs w:val="13"/>
        </w:rPr>
        <w:t>（若本理财产品被提前终止或延期终止，以实际到期日计算持有天数）</w:t>
      </w:r>
      <w:r>
        <w:rPr>
          <w:rFonts w:hint="eastAsia" w:ascii="方正黑体_GBK" w:hAnsi="方正黑体_GBK" w:eastAsia="方正黑体_GBK"/>
          <w:b/>
          <w:bCs w:val="0"/>
          <w:vanish w:val="0"/>
          <w:color w:val="3D3D3D"/>
          <w:kern w:val="0"/>
          <w:sz w:val="13"/>
          <w:szCs w:val="13"/>
        </w:rPr>
        <w:t>。</w:t>
      </w:r>
    </w:p>
    <w:p>
      <w:pPr>
        <w:pStyle w:val="7"/>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7"/>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s="Times New Roman"/>
          <w:vanish w:val="0"/>
          <w:color w:val="3D3D3D"/>
          <w:kern w:val="0"/>
          <w:sz w:val="13"/>
          <w:szCs w:val="13"/>
        </w:rPr>
        <w:t>符合相关法律法规、监管规定要求的，经销售机构的风险承受能力评估体系评定为适合的个人和机构投资者</w:t>
      </w:r>
      <w:r>
        <w:rPr>
          <w:rFonts w:hint="eastAsia" w:ascii="方正黑体_GBK" w:hAnsi="方正黑体_GBK" w:eastAsia="方正黑体_GBK"/>
          <w:b/>
          <w:bCs/>
          <w:vanish w:val="0"/>
          <w:color w:val="3D3D3D"/>
          <w:kern w:val="0"/>
          <w:sz w:val="13"/>
          <w:szCs w:val="13"/>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6"/>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4"/>
        <w:tblW w:w="9287" w:type="dxa"/>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r>
        <w:rPr>
          <w:rFonts w:ascii="方正黑体_GBK" w:hAnsi="方正黑体_GBK" w:eastAsia="方正黑体_GBK"/>
        </w:rPr>
        <w:br w:type="page"/>
      </w:r>
    </w:p>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8"/>
        <w:spacing w:line="240" w:lineRule="auto"/>
        <w:ind w:left="0"/>
        <w:jc w:val="right"/>
        <w:rPr>
          <w:rFonts w:hAnsi="宋体"/>
          <w:sz w:val="28"/>
        </w:rPr>
      </w:pPr>
      <w:r>
        <w:rPr>
          <w:rFonts w:hAnsi="宋体"/>
          <w:sz w:val="28"/>
        </w:rPr>
        <w:t>风险提示方：江苏紫金农村商业银行股份有限公司</w:t>
      </w:r>
    </w:p>
    <w:p>
      <w:pPr>
        <w:pStyle w:val="8"/>
        <w:spacing w:line="240" w:lineRule="auto"/>
        <w:ind w:left="0"/>
        <w:jc w:val="right"/>
        <w:rPr>
          <w:rFonts w:hAnsi="宋体"/>
          <w:sz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E5BED"/>
    <w:rsid w:val="4DDE5D9E"/>
    <w:rsid w:val="68EE5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semiHidden/>
    <w:unhideWhenUsed/>
    <w:qFormat/>
    <w:uiPriority w:val="99"/>
    <w:pPr>
      <w:pBdr>
        <w:bottom w:val="single" w:color="auto" w:sz="6" w:space="1"/>
      </w:pBdr>
      <w:tabs>
        <w:tab w:val="center" w:pos="4153"/>
        <w:tab w:val="right" w:pos="8306"/>
      </w:tabs>
      <w:jc w:val="center"/>
    </w:pPr>
    <w:rPr>
      <w:sz w:val="18"/>
      <w:szCs w:val="18"/>
    </w:rPr>
  </w:style>
  <w:style w:type="paragraph" w:styleId="3">
    <w:name w:val="toc 1"/>
    <w:basedOn w:val="1"/>
    <w:next w:val="1"/>
    <w:uiPriority w:val="0"/>
  </w:style>
  <w:style w:type="paragraph" w:customStyle="1" w:styleId="6">
    <w:name w:val="Normald37b554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7">
    <w:name w:val="annotation text23"/>
    <w:next w:val="3"/>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2024-01-26T06:40:00Z</dcterms:created>
  <dc:creator>庞融</dc:creator>
  <cp:lastModifiedBy>User</cp:lastModifiedBy>
  <dcterms:modified xsi:type="dcterms:W3CDTF">2024-01-30T04:20:19Z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936DD1BC339141FFA7DE6ED4A8F01DD5</vt:lpwstr>
  </property>
</Properties>
</file>